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Scheda Codici MePA e CPV</w:t>
      </w:r>
    </w:p>
    <w:p>
      <w:pPr>
        <w:spacing w:after="140"/>
      </w:pPr>
      <w:r>
        <w:t xml:space="preserve">BOZZA MODIFICABILE — Da adattare al caso concreto e validare dal RUP e dagli uffici competenti prima dell’utilizzo. Non costituisce parere legale né atto pronto alla firma.</w:t>
      </w:r>
    </w:p>
    <w:p>
      <w:pPr>
        <w:pStyle w:val="Heading2"/>
      </w:pPr>
      <w:r>
        <w:t xml:space="preserve">1. Identificazione dell’acquisto</w:t>
      </w:r>
    </w:p>
    <w:p>
      <w:pPr>
        <w:spacing w:after="140"/>
      </w:pPr>
      <w:r>
        <w:t xml:space="preserve">Ente: [denominazione] · RUP: [nome] · Oggetto: [descrizione] · Importo stimato al netto IVA: € [importo] · Durata: [periodo].</w:t>
      </w:r>
    </w:p>
    <w:p>
      <w:pPr>
        <w:pStyle w:val="Heading2"/>
      </w:pPr>
      <w:r>
        <w:t xml:space="preserve">2. Categorie MePA da verificare</w:t>
      </w:r>
    </w:p>
    <w:p>
      <w:pPr>
        <w:spacing w:after="140"/>
      </w:pPr>
      <w:r>
        <w:t xml:space="preserve">Il kit fornito indica Servizi ICT e Servizi di Consulenza. Riportare la denominazione e la categoria esatte disponibili su Acquisti in Rete alla data dell’acquisto: [campo]. Verificare abilitazione effettiva dell’operatore, perimetro merceologico e compatibilità del servizio.</w:t>
      </w:r>
    </w:p>
    <w:p>
      <w:pPr>
        <w:spacing w:after="140"/>
      </w:pPr>
      <w:r>
        <w:t xml:space="preserve">Stato abilitazione Rippon Consulting: [verifica aggiornata con data ed evidenza]. Il PDF allegato dichiara l’abilitazione attiva, mentre la pagina del sito indica un’abilitazione in corso: confermare lo stato prima di avviare la procedura.</w:t>
      </w:r>
    </w:p>
    <w:p>
      <w:pPr>
        <w:pStyle w:val="Heading2"/>
      </w:pPr>
      <w:r>
        <w:t xml:space="preserve">3. Codici CPV indicati nel kit</w:t>
      </w:r>
    </w:p>
    <w:p>
      <w:pPr>
        <w:spacing w:after="140"/>
      </w:pPr>
      <w:r>
        <w:t xml:space="preserve">72000000-5 — Servizi informatici: consulenza, sviluppo di software, Internet e supporto.</w:t>
      </w:r>
    </w:p>
    <w:p>
      <w:pPr>
        <w:spacing w:after="140"/>
      </w:pPr>
      <w:r>
        <w:t xml:space="preserve">72221000-0 — Servizi di consulenza per analisi aziendale.</w:t>
      </w:r>
    </w:p>
    <w:p>
      <w:pPr>
        <w:spacing w:after="140"/>
      </w:pPr>
      <w:r>
        <w:t xml:space="preserve">Codici di riferimento, non una classificazione vincolante. Il RUP seleziona il CPV più aderente alla prestazione principale e gli eventuali codici complementari usando il vocabolario ufficiale vigente. Il kit descrive il secondo codice come consulenza in analisi strategica: verificare la denominazione ufficiale.</w:t>
      </w:r>
    </w:p>
    <w:p>
      <w:pPr>
        <w:pStyle w:val="Heading2"/>
      </w:pPr>
      <w:r>
        <w:t xml:space="preserve">4. Scheda procedurale da completare</w:t>
      </w:r>
    </w:p>
    <w:p>
      <w:pPr>
        <w:spacing w:after="140"/>
      </w:pPr>
      <w:r>
        <w:t xml:space="preserve">CPV principale: [codice e denominazione] · CPV complementari: [codici]. Categoria MePA: [denominazione esatta]. Strumento: [TD/ODA/altro consentito]. Identificativo procedura: [dato]. CIG e, se applicabile, CUP: [dati]. Motivazione della scelta: [testo].</w:t>
      </w:r>
    </w:p>
    <w:p>
      <w:r>
        <w:br w:type="page"/>
      </w:r>
    </w:p>
    <w:p>
      <w:pPr>
        <w:pStyle w:val="Heading2"/>
      </w:pPr>
      <w:r>
        <w:t xml:space="preserve">5. Percorso di acquisto e controlli</w:t>
      </w:r>
    </w:p>
    <w:p>
      <w:pPr>
        <w:spacing w:after="140"/>
      </w:pPr>
      <w:r>
        <w:t xml:space="preserve">Prima dell’acquisto: verificare fabbisogno, stima completa, copertura, programmazione applicabile e disciplina vigente. Definire procedura, categoria, CPV e documentazione richiesta. TD o ODA vanno scelti in base a disponibilità effettiva e condizioni del catalogo e della piattaforma.</w:t>
      </w:r>
    </w:p>
    <w:p>
      <w:pPr>
        <w:spacing w:after="140"/>
      </w:pPr>
      <w:r>
        <w:t xml:space="preserve">Durante l’istruttoria: raccogliere preventivo separando servizi, cloud e consumo API; documentare congruità, requisiti ed eventuali deroghe; gestire CIG e comunicazioni ANAC mediante il percorso digitale applicabile.</w:t>
      </w:r>
    </w:p>
    <w:p>
      <w:pPr>
        <w:spacing w:after="140"/>
      </w:pPr>
      <w:r>
        <w:t xml:space="preserve">Prima della stipula: verificare requisiti e DURC, tracciabilità, patto di integrità se previsto, DUVRI solo se pertinente e disciplina del trattamento dati. Concordare SLA, continuità e condizioni di uscita.</w:t>
      </w:r>
    </w:p>
    <w:p>
      <w:pPr>
        <w:pStyle w:val="Heading2"/>
      </w:pPr>
      <w:r>
        <w:t xml:space="preserve">6. Riferimenti da consultare</w:t>
      </w:r>
    </w:p>
    <w:p>
      <w:pPr>
        <w:spacing w:after="140"/>
      </w:pPr>
      <w:r>
        <w:t xml:space="preserve">D.Lgs. 36/2023 nel testo vigente, in particolare artt. 17, 49 e 50; disciplina applicabile agli obblighi di acquisto telematico; portale Acquisti in Rete PA; istruzioni ANAC per contratti digitali; vocabolario CPV ufficiale UE.</w:t>
      </w:r>
    </w:p>
    <w:p>
      <w:pPr>
        <w:spacing w:after="140"/>
      </w:pPr>
      <w:r>
        <w:t xml:space="preserve">Programmazione: utilizzare il programma triennale degli acquisti di beni e servizi ove dovuto ai sensi dell’art. 37; verificare soglie ed eventuali eccezioni. Il riferimento al programma biennale nel PDF originale deve essere aggiornato prima dell’uso amministrativo.</w:t>
      </w:r>
    </w:p>
    <w:p>
      <w:pPr>
        <w:pStyle w:val="Heading2"/>
      </w:pPr>
      <w:r>
        <w:t xml:space="preserve">7. Evidenze da archiviare</w:t>
      </w:r>
    </w:p>
    <w:p>
      <w:pPr>
        <w:spacing w:after="140"/>
      </w:pPr>
      <w:r>
        <w:t xml:space="preserve">Data della verifica: [data] · Funzionario: [nome]. Allegare evidenza categoria e abilitazione, motivazione CPV, preventivo, istruttoria, controlli, procedura telematica e contratto. Contatto Rippon Consulting: andrew@ripponconsulting.com · WhatsApp +39 327 270 6012.</w:t>
      </w:r>
    </w:p>
    <w:sectPr>
      <w:headerReference w:type="default" r:id="rId6"/>
      <w:footerReference w:type="default" r:id="rId7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>BOZZA DA VALIDARE  ·  Pagina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D674C" w:sz="6" w:space="8"/>
      </w:pBdr>
    </w:pPr>
    <w:r>
      <w:rPr>
        <w:rFonts w:ascii="Arial" w:cs="Arial" w:eastAsia="Arial" w:hAnsi="Arial"/>
        <w:b/>
        <w:bCs/>
        <w:sz w:val="18"/>
        <w:szCs w:val="18"/>
      </w:rPr>
      <w:t xml:space="preserve">RIPPON CONSULTING  |  PA LOCALE &amp; AGENTI 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F42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Arial" w:cs="Arial" w:eastAsia="Arial" w:hAnsi="Arial"/>
      <w:b/>
      <w:bCs/>
      <w:color w:val="000000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00" w:before="180"/>
      <w:outlineLvl w:val="1"/>
    </w:pPr>
    <w:rPr>
      <w:rFonts w:ascii="Arial" w:cs="Arial" w:eastAsia="Arial" w:hAnsi="Arial"/>
      <w:b/>
      <w:bCs/>
      <w:color w:val="000000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Codici MePA e CPV</dc:title>
  <dc:creator>Rippon Consulting</dc:creator>
  <cp:lastModifiedBy>Un-named</cp:lastModifiedBy>
  <cp:revision>1</cp:revision>
  <dcterms:created xsi:type="dcterms:W3CDTF">2026-10-05T08:34:10.571Z</dcterms:created>
  <dcterms:modified xsi:type="dcterms:W3CDTF">2026-10-05T08:34:10.571Z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