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Bozza Capitolato Tecnico Prestazionale</w:t>
      </w:r>
    </w:p>
    <w:p>
      <w:pPr>
        <w:spacing w:after="140"/>
      </w:pPr>
      <w:r>
        <w:t xml:space="preserve">BOZZA MODIFICABILE — Da adattare al caso concreto e validare dal RUP e dagli uffici competenti prima dell’utilizzo. Non costituisce parere legale né atto pronto alla firma.</w:t>
      </w:r>
    </w:p>
    <w:p>
      <w:pPr>
        <w:pStyle w:val="Heading2"/>
      </w:pPr>
      <w:r>
        <w:t xml:space="preserve">1. Oggetto e perimetro</w:t>
      </w:r>
    </w:p>
    <w:p>
      <w:pPr>
        <w:spacing w:after="140"/>
      </w:pPr>
      <w:r>
        <w:t xml:space="preserve">Ente: [denominazione] · RUP: [nome e ruolo] · Progetto: [titolo] · CIG: [da acquisire secondo la procedura applicabile].</w:t>
      </w:r>
    </w:p>
    <w:p>
      <w:pPr>
        <w:spacing w:after="140"/>
      </w:pPr>
      <w:r>
        <w:t xml:space="preserve">Servizi di progettazione, integrazione e affiancamento per un pilota di Agenti IA a supporto di [processi e uffici]. Durata: [settimane]. Utenti e volumi attesi: [dati]. Sono esclusi: [attività fuori perimetro].</w:t>
      </w:r>
    </w:p>
    <w:p>
      <w:pPr>
        <w:pStyle w:val="Heading2"/>
      </w:pPr>
      <w:r>
        <w:t xml:space="preserve">2. Prestazioni e risultati attesi</w:t>
      </w:r>
    </w:p>
    <w:p>
      <w:pPr>
        <w:spacing w:after="140"/>
      </w:pPr>
      <w:r>
        <w:t xml:space="preserve">Analisi dei processi e dei dati; definizione dei casi d’uso; configurazione degli agenti; integrazione con [gestionali/API]; test; formazione del personale; documentazione e passaggio di consegne. Deliverable, scadenze e criteri di accettazione: [specificare per ciascuna fase].</w:t>
      </w:r>
    </w:p>
    <w:p>
      <w:pPr>
        <w:pStyle w:val="Heading2"/>
      </w:pPr>
      <w:r>
        <w:t xml:space="preserve">3. Controllo umano e governance dell’IA</w:t>
      </w:r>
    </w:p>
    <w:p>
      <w:pPr>
        <w:spacing w:after="140"/>
      </w:pPr>
      <w:r>
        <w:t xml:space="preserve">L’Ente mantiene la responsabilità delle decisioni amministrative. Gli agenti assistono il personale e non adottano autonomamente provvedimenti. Definire classificazione dei sistemi, obblighi applicabili ai sensi del Regolamento (UE) 2024/1689, supervisione, registri, audit e gestione degli incidenti con RTD e DPO.</w:t>
      </w:r>
    </w:p>
    <w:p>
      <w:pPr>
        <w:pStyle w:val="Heading2"/>
      </w:pPr>
      <w:r>
        <w:t xml:space="preserve">4. Dati, riservatezza e trattamento</w:t>
      </w:r>
    </w:p>
    <w:p>
      <w:pPr>
        <w:spacing w:after="140"/>
      </w:pPr>
      <w:r>
        <w:t xml:space="preserve">I dati dell’Ente restano nella sua disponibilità e sotto il suo controllo. Nessun utilizzo per addestramento di modelli terzi. Specificare localizzazione UE, retention dei log e Zero-Data Retention dei prompt personali, accessi e subfornitori. Se applicabile, stipulare nomina a responsabile del trattamento ex art. 28 GDPR con allegati tecnici validati dal DPO.</w:t>
      </w:r>
    </w:p>
    <w:p>
      <w:r>
        <w:br w:type="page"/>
      </w:r>
    </w:p>
    <w:p>
      <w:pPr>
        <w:pStyle w:val="Heading2"/>
      </w:pPr>
      <w:r>
        <w:t xml:space="preserve">5. Sicurezza, interoperabilità e accessibilità</w:t>
      </w:r>
    </w:p>
    <w:p>
      <w:pPr>
        <w:spacing w:after="140"/>
      </w:pPr>
      <w:r>
        <w:t xml:space="preserve">Definire autenticazione, minimo privilegio, segregazione, cifratura, tracciabilità, backup e ripristino secondo i requisiti applicabili all’Ente, inclusi ACN e Piano Triennale. Interoperabilità con [ERP/gestionale] mediante [API/RPA] e formati esportabili. Per servizi pubblici, verificare WCAG 2.1 e Legge 4/2004 nel collaudo.</w:t>
      </w:r>
    </w:p>
    <w:p>
      <w:pPr>
        <w:pStyle w:val="Heading2"/>
      </w:pPr>
      <w:r>
        <w:t xml:space="preserve">6. Livelli di servizio e continuità</w:t>
      </w:r>
    </w:p>
    <w:p>
      <w:pPr>
        <w:spacing w:after="140"/>
      </w:pPr>
      <w:r>
        <w:t xml:space="preserve">Disponibilità proposta da valutare: 99,5%. Finestra di servizio: [orari]; formula di calcolo: [definire]; manutenzioni programmate ed esclusioni: [definire]. Tempi di presa in carico/risoluzione per gravità: [tabella da completare]. RTO: [valore] · RPO: [valore]. Rimedi e penali proporzionati: [definire]. L’SLA è efficace solo dopo accordo su metriche e perimetro.</w:t>
      </w:r>
    </w:p>
    <w:p>
      <w:pPr>
        <w:pStyle w:val="Heading2"/>
      </w:pPr>
      <w:r>
        <w:t xml:space="preserve">7. Proprietà intellettuale e uscita</w:t>
      </w:r>
    </w:p>
    <w:p>
      <w:pPr>
        <w:spacing w:after="140"/>
      </w:pPr>
      <w:r>
        <w:t xml:space="preserve">Distinguere dati e prompt dell’Ente da software preesistente e componenti di terzi. Definire titolarità/licenze dei deliverable, esportazione, documentazione, assistenza al subentro e cancellazione certificata dei dati al termine del servizio.</w:t>
      </w:r>
    </w:p>
    <w:p>
      <w:pPr>
        <w:pStyle w:val="Heading2"/>
      </w:pPr>
      <w:r>
        <w:t xml:space="preserve">8. Corrispettivo, collaudo e pagamenti</w:t>
      </w:r>
    </w:p>
    <w:p>
      <w:pPr>
        <w:spacing w:after="140"/>
      </w:pPr>
      <w:r>
        <w:t xml:space="preserve">Servizi professionali: € [importo] al netto IVA. Cloud e consumi API/LLM: € [stima e massimale], separati e dimensionati per volumi. Pagamenti collegati a [milestone] dopo verifica di conformità. KPI iniziali/finali: tempi di pratica, qualità, disponibilità, adozione e costi. Allegati: preventivo, piano di lavoro, sicurezza, trattamento dati e SLA.</w:t>
      </w:r>
    </w:p>
    <w:p>
      <w:pPr>
        <w:spacing w:after="140"/>
      </w:pPr>
      <w:r>
        <w:t xml:space="preserve">Fonte di partenza: Kit Operativo per il RUP e l’Ufficio Acquisti della PA Locale, fornito da Rippon Consulting. Contatto: andrew@ripponconsulting.com.</w:t>
      </w:r>
    </w:p>
    <w:sectPr>
      <w:headerReference w:type="default" r:id="rId6"/>
      <w:footerReference w:type="default" r:id="rId7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6"/>
        <w:szCs w:val="16"/>
      </w:rPr>
      <w:t xml:space="preserve">BOZZA DA VALIDARE  ·  Pagina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D674C" w:sz="6" w:space="8"/>
      </w:pBdr>
    </w:pPr>
    <w:r>
      <w:rPr>
        <w:rFonts w:ascii="Arial" w:cs="Arial" w:eastAsia="Arial" w:hAnsi="Arial"/>
        <w:b/>
        <w:bCs/>
        <w:sz w:val="18"/>
        <w:szCs w:val="18"/>
      </w:rPr>
      <w:t xml:space="preserve">RIPPON CONSULTING  |  PA LOCALE &amp; AGENTI 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2F42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120"/>
      <w:outlineLvl w:val="0"/>
    </w:pPr>
    <w:rPr>
      <w:rFonts w:ascii="Arial" w:cs="Arial" w:eastAsia="Arial" w:hAnsi="Arial"/>
      <w:b/>
      <w:bCs/>
      <w:color w:val="000000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00" w:before="180"/>
      <w:outlineLvl w:val="1"/>
    </w:pPr>
    <w:rPr>
      <w:rFonts w:ascii="Arial" w:cs="Arial" w:eastAsia="Arial" w:hAnsi="Arial"/>
      <w:b/>
      <w:bCs/>
      <w:color w:val="000000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Bozza Capitolato Tecnico Prestazionale</dc:title>
  <dc:creator>Rippon Consulting</dc:creator>
  <cp:lastModifiedBy>Un-named</cp:lastModifiedBy>
  <cp:revision>1</cp:revision>
  <dcterms:created xsi:type="dcterms:W3CDTF">2026-10-05T08:34:10.489Z</dcterms:created>
  <dcterms:modified xsi:type="dcterms:W3CDTF">2026-10-05T08:34:10.490Z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